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¿Para qué sirve esta brief?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1995gt2p62pg" w:id="1"/>
      <w:bookmarkEnd w:id="1"/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yudarte a ajustar los últimos puntos antes del lanzamiento oficial.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1. ¿Qué métodos de pago vas a ofrecer?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br w:type="textWrapping"/>
        <w:t xml:space="preserve">Ejemplos:</w:t>
        <w:br w:type="textWrapping"/>
        <w:t xml:space="preserve"> – Tarjetas de crédito/débito</w:t>
        <w:br w:type="textWrapping"/>
        <w:t xml:space="preserve"> – Transferencias bancarias</w:t>
        <w:br w:type="textWrapping"/>
        <w:t xml:space="preserve"> – Billeteras virtuales (Mercado Pago, PayPal)</w:t>
        <w:br w:type="textWrapping"/>
        <w:t xml:space="preserve"> – Contra reembolso o pago en efectivo (en su caso)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2. ¿Cómo vas a gestionar los envíos?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br w:type="textWrapping"/>
        <w:t xml:space="preserve"> Ejemplos:</w:t>
        <w:br w:type="textWrapping"/>
        <w:t xml:space="preserve"> – Envíos a través de Correo Argentino o Andreani</w:t>
        <w:br w:type="textWrapping"/>
        <w:t xml:space="preserve"> – Servicios de mensajería privada</w:t>
        <w:br w:type="textWrapping"/>
        <w:t xml:space="preserve"> – Retiro en tienda o puntos de retiro</w:t>
        <w:br w:type="textWrapping"/>
        <w:t xml:space="preserve"> – Envío gratis en compras superiores a un monto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3. ¿Qué política de cambios y devoluciones vas a ofrecer?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br w:type="textWrapping"/>
        <w:t xml:space="preserve"> Ejemplos:</w:t>
        <w:br w:type="textWrapping"/>
        <w:t xml:space="preserve"> – Cambios por fallas en productos dentro de 30 días</w:t>
        <w:br w:type="textWrapping"/>
        <w:t xml:space="preserve"> – Devoluciones en un plazo de 7 días</w:t>
        <w:br w:type="textWrapping"/>
        <w:t xml:space="preserve"> – Política de reembolsos y devoluciones fáciles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4. ¿Cómo vas a gestionar la atención al cliente en tu tienda online?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br w:type="textWrapping"/>
        <w:t xml:space="preserve"> Ejemplos:</w:t>
        <w:br w:type="textWrapping"/>
        <w:t xml:space="preserve"> – Chat en vivo (con WhatsApp o un sistema propio)</w:t>
        <w:br w:type="textWrapping"/>
        <w:t xml:space="preserve"> – Soporte por email</w:t>
        <w:br w:type="textWrapping"/>
        <w:t xml:space="preserve"> – Centro de ayuda o preguntas frecuentes</w:t>
        <w:br w:type="textWrapping"/>
        <w:t xml:space="preserve"> – Respuestas automatizadas a consultas frecuentes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240" w:before="240" w:lineRule="auto"/>
        <w:ind w:left="0" w:right="600" w:firstLine="0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ku5a9esdhkb4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Tip: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 En esta etapa, ¡la velocidad cuenta! Cuanto antes configures los pagos y los envíos, antes podrás empezar a vender.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240" w:before="240" w:lineRule="auto"/>
        <w:ind w:left="0" w:right="600" w:firstLine="0"/>
        <w:rPr>
          <w:rFonts w:ascii="Montserrat" w:cs="Montserrat" w:eastAsia="Montserrat" w:hAnsi="Montserrat"/>
          <w:color w:val="18233d"/>
          <w:sz w:val="20"/>
          <w:szCs w:val="20"/>
        </w:rPr>
      </w:pPr>
      <w:bookmarkStart w:colFirst="0" w:colLast="0" w:name="_ma17jzjfwvm6" w:id="2"/>
      <w:bookmarkEnd w:id="2"/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En cuanto esté todo listo, podemos hacer una revisión final de tu tienda antes de lanzarla oficialmente. Si ya estás listo para dar ese paso, ¡avísame y lo hacemos juntos!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40" w:lineRule="auto"/>
      <w:rPr>
        <w:rFonts w:ascii="Calibri" w:cs="Calibri" w:eastAsia="Calibri" w:hAnsi="Calibri"/>
        <w:color w:val="18233d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Layout w:type="fixed"/>
      <w:tblLook w:val="06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823.2600000000001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widowControl w:val="0"/>
            <w:spacing w:line="240" w:lineRule="auto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8872.0" w:type="dxa"/>
            <w:jc w:val="center"/>
            <w:tblLayout w:type="fixed"/>
            <w:tblLook w:val="0600"/>
          </w:tblPr>
          <w:tblGrid>
            <w:gridCol w:w="2957.3333333333335"/>
            <w:gridCol w:w="2957.3333333333335"/>
            <w:gridCol w:w="2957.3333333333335"/>
            <w:tblGridChange w:id="0">
              <w:tblGrid>
                <w:gridCol w:w="2957.3333333333335"/>
                <w:gridCol w:w="2957.3333333333335"/>
                <w:gridCol w:w="2957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mocapestudio.com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+54 9 351 7702955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hola@mocapestudio.com</w:t>
                </w:r>
              </w:p>
            </w:tc>
          </w:tr>
        </w:tbl>
        <w:p w:rsidR="00000000" w:rsidDel="00000000" w:rsidP="00000000" w:rsidRDefault="00000000" w:rsidRPr="00000000" w14:paraId="00000017">
          <w:pPr>
            <w:widowControl w:val="0"/>
            <w:spacing w:line="240" w:lineRule="auto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after="200" w:before="200" w:line="240" w:lineRule="auto"/>
      <w:rPr>
        <w:rFonts w:ascii="Montserrat" w:cs="Montserrat" w:eastAsia="Montserrat" w:hAnsi="Montserrat"/>
        <w:color w:val="18233d"/>
      </w:rPr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Ind w:w="-30.0" w:type="dxa"/>
      <w:tblLayout w:type="fixed"/>
      <w:tblLook w:val="0600"/>
    </w:tblPr>
    <w:tblGrid>
      <w:gridCol w:w="6975"/>
      <w:gridCol w:w="2415"/>
      <w:tblGridChange w:id="0">
        <w:tblGrid>
          <w:gridCol w:w="6975"/>
          <w:gridCol w:w="2415"/>
        </w:tblGrid>
      </w:tblGridChange>
    </w:tblGrid>
    <w:tr>
      <w:trPr>
        <w:cantSplit w:val="0"/>
        <w:trHeight w:val="510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0F">
          <w:pPr>
            <w:spacing w:after="240" w:before="240" w:lineRule="auto"/>
            <w:rPr>
              <w:rFonts w:ascii="Montserrat" w:cs="Montserrat" w:eastAsia="Montserrat" w:hAnsi="Montserrat"/>
              <w:color w:val="18233d"/>
              <w:highlight w:val="yellow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212a3f"/>
              <w:sz w:val="24"/>
              <w:szCs w:val="24"/>
              <w:rtl w:val="0"/>
            </w:rPr>
            <w:t xml:space="preserve">📄 Brief: Último paso para lanzar tu e-Commerce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0">
          <w:pPr>
            <w:spacing w:after="160" w:line="259" w:lineRule="auto"/>
            <w:jc w:val="right"/>
            <w:rPr>
              <w:rFonts w:ascii="Montserrat" w:cs="Montserrat" w:eastAsia="Montserrat" w:hAnsi="Montserrat"/>
              <w:color w:val="18233d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18233d"/>
            </w:rPr>
            <w:drawing>
              <wp:inline distB="114300" distT="114300" distL="114300" distR="114300">
                <wp:extent cx="1199197" cy="36152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97" cy="3615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